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6E77F1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96456B" w:rsidRPr="0096456B">
              <w:rPr>
                <w:rFonts w:eastAsia="Calibri"/>
                <w:b/>
                <w:i/>
              </w:rPr>
              <w:t>существенная сделка, не являющаяся крупной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96456B">
              <w:rPr>
                <w:rFonts w:eastAsia="Calibri"/>
                <w:b/>
                <w:i/>
              </w:rPr>
              <w:t>дополнительное с</w:t>
            </w:r>
            <w:r w:rsidR="005F27AB" w:rsidRPr="00F44691">
              <w:rPr>
                <w:rFonts w:eastAsia="Calibri"/>
                <w:b/>
                <w:i/>
              </w:rPr>
              <w:t xml:space="preserve">оглашение </w:t>
            </w:r>
            <w:r w:rsidR="0096456B">
              <w:rPr>
                <w:rFonts w:eastAsia="Calibri"/>
                <w:b/>
                <w:i/>
              </w:rPr>
              <w:t>№</w:t>
            </w:r>
            <w:r w:rsidR="00D769AA">
              <w:rPr>
                <w:rFonts w:eastAsia="Calibri"/>
                <w:b/>
                <w:i/>
              </w:rPr>
              <w:t xml:space="preserve"> </w:t>
            </w:r>
            <w:r w:rsidR="00BB0E78" w:rsidRPr="00BB0E78">
              <w:rPr>
                <w:rFonts w:eastAsia="Calibri"/>
                <w:b/>
                <w:i/>
              </w:rPr>
              <w:t>2</w:t>
            </w:r>
            <w:r w:rsidR="00553F2F">
              <w:rPr>
                <w:rFonts w:eastAsia="Calibri"/>
                <w:b/>
                <w:i/>
              </w:rPr>
              <w:t xml:space="preserve"> </w:t>
            </w:r>
            <w:r w:rsidR="00D769AA">
              <w:rPr>
                <w:rFonts w:eastAsia="Calibri"/>
                <w:b/>
                <w:i/>
              </w:rPr>
              <w:t>от 22.04.2025 г.</w:t>
            </w:r>
            <w:r w:rsidR="00553F2F">
              <w:rPr>
                <w:rFonts w:eastAsia="Calibri"/>
                <w:b/>
                <w:i/>
              </w:rPr>
              <w:t xml:space="preserve"> к договору займа </w:t>
            </w:r>
            <w:r w:rsidR="002C5304">
              <w:rPr>
                <w:rFonts w:eastAsia="Calibri"/>
                <w:b/>
                <w:i/>
              </w:rPr>
              <w:t xml:space="preserve">№ 1/2023 от </w:t>
            </w:r>
            <w:r w:rsidR="002C5304" w:rsidRPr="00553F2F">
              <w:rPr>
                <w:rFonts w:eastAsia="Calibri"/>
                <w:b/>
                <w:i/>
              </w:rPr>
              <w:t>31</w:t>
            </w:r>
            <w:r w:rsidR="002C5304">
              <w:rPr>
                <w:rFonts w:eastAsia="Calibri"/>
                <w:b/>
                <w:i/>
              </w:rPr>
              <w:t>.01.</w:t>
            </w:r>
            <w:r w:rsidR="002C5304" w:rsidRPr="00553F2F">
              <w:rPr>
                <w:rFonts w:eastAsia="Calibri"/>
                <w:b/>
                <w:i/>
              </w:rPr>
              <w:t xml:space="preserve">2023 </w:t>
            </w:r>
            <w:r w:rsidR="00553F2F">
              <w:rPr>
                <w:rFonts w:eastAsia="Calibri"/>
                <w:b/>
                <w:i/>
              </w:rPr>
              <w:t>г.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</w:t>
            </w:r>
            <w:r w:rsidR="00C1338C">
              <w:rPr>
                <w:rFonts w:eastAsia="Calibri"/>
                <w:b/>
                <w:i/>
              </w:rPr>
              <w:t>о</w:t>
            </w:r>
            <w:r>
              <w:rPr>
                <w:rFonts w:eastAsia="Calibri"/>
                <w:b/>
                <w:i/>
              </w:rPr>
              <w:t xml:space="preserve"> </w:t>
            </w:r>
            <w:r w:rsidR="00C1338C">
              <w:rPr>
                <w:rFonts w:eastAsia="Calibri"/>
                <w:b/>
                <w:i/>
              </w:rPr>
              <w:t>следующими</w:t>
            </w:r>
            <w:r w:rsidR="00876A90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сделками: договорами займа </w:t>
            </w:r>
            <w:r w:rsidR="00553F2F">
              <w:rPr>
                <w:rFonts w:eastAsia="Calibri"/>
                <w:b/>
                <w:i/>
              </w:rPr>
              <w:t xml:space="preserve">№ 1/2009 от 28.03.2019 г., № 2/2009 от </w:t>
            </w:r>
            <w:r w:rsidR="00553F2F" w:rsidRPr="00553F2F">
              <w:rPr>
                <w:rFonts w:eastAsia="Calibri"/>
                <w:b/>
                <w:i/>
              </w:rPr>
              <w:t>15</w:t>
            </w:r>
            <w:r w:rsidR="00553F2F">
              <w:rPr>
                <w:rFonts w:eastAsia="Calibri"/>
                <w:b/>
                <w:i/>
              </w:rPr>
              <w:t>.08.</w:t>
            </w:r>
            <w:r w:rsidR="00553F2F" w:rsidRPr="00553F2F">
              <w:rPr>
                <w:rFonts w:eastAsia="Calibri"/>
                <w:b/>
                <w:i/>
              </w:rPr>
              <w:t xml:space="preserve">2019 г., </w:t>
            </w:r>
            <w:r w:rsidR="00553F2F">
              <w:rPr>
                <w:rFonts w:eastAsia="Calibri"/>
                <w:b/>
                <w:i/>
              </w:rPr>
              <w:t xml:space="preserve">№ 5/2009 от </w:t>
            </w:r>
            <w:r w:rsidR="00553F2F" w:rsidRPr="00553F2F">
              <w:rPr>
                <w:rFonts w:eastAsia="Calibri"/>
                <w:b/>
                <w:i/>
              </w:rPr>
              <w:t>19</w:t>
            </w:r>
            <w:r w:rsidR="00553F2F">
              <w:rPr>
                <w:rFonts w:eastAsia="Calibri"/>
                <w:b/>
                <w:i/>
              </w:rPr>
              <w:t>.07.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6/2009 от </w:t>
            </w:r>
            <w:r w:rsidR="00553F2F" w:rsidRPr="00553F2F">
              <w:rPr>
                <w:rFonts w:eastAsia="Calibri"/>
                <w:b/>
                <w:i/>
              </w:rPr>
              <w:t>11</w:t>
            </w:r>
            <w:r w:rsidR="00553F2F">
              <w:rPr>
                <w:rFonts w:eastAsia="Calibri"/>
                <w:b/>
                <w:i/>
              </w:rPr>
              <w:t>.11.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1/2022 от </w:t>
            </w:r>
            <w:r w:rsidR="00553F2F" w:rsidRPr="00553F2F">
              <w:rPr>
                <w:rFonts w:eastAsia="Calibri"/>
                <w:b/>
                <w:i/>
              </w:rPr>
              <w:t>20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2/2022 от </w:t>
            </w:r>
            <w:r w:rsidR="00553F2F" w:rsidRPr="00553F2F">
              <w:rPr>
                <w:rFonts w:eastAsia="Calibri"/>
                <w:b/>
                <w:i/>
              </w:rPr>
              <w:t>08</w:t>
            </w:r>
            <w:r w:rsidR="00553F2F">
              <w:rPr>
                <w:rFonts w:eastAsia="Calibri"/>
                <w:b/>
                <w:i/>
              </w:rPr>
              <w:t>.06.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3/2022 от </w:t>
            </w:r>
            <w:r w:rsidR="00553F2F" w:rsidRPr="00553F2F">
              <w:rPr>
                <w:rFonts w:eastAsia="Calibri"/>
                <w:b/>
                <w:i/>
              </w:rPr>
              <w:t>26</w:t>
            </w:r>
            <w:r w:rsidR="00553F2F">
              <w:rPr>
                <w:rFonts w:eastAsia="Calibri"/>
                <w:b/>
                <w:i/>
              </w:rPr>
              <w:t>.12.</w:t>
            </w:r>
            <w:r w:rsidR="00553F2F" w:rsidRPr="00553F2F">
              <w:rPr>
                <w:rFonts w:eastAsia="Calibri"/>
                <w:b/>
                <w:i/>
              </w:rPr>
              <w:t>2022 г</w:t>
            </w:r>
            <w:proofErr w:type="gramEnd"/>
            <w:r w:rsidR="00553F2F" w:rsidRPr="00553F2F">
              <w:rPr>
                <w:rFonts w:eastAsia="Calibri"/>
                <w:b/>
                <w:i/>
              </w:rPr>
              <w:t xml:space="preserve">., </w:t>
            </w:r>
            <w:r w:rsidR="00553F2F">
              <w:rPr>
                <w:rFonts w:eastAsia="Calibri"/>
                <w:b/>
                <w:i/>
              </w:rPr>
              <w:t xml:space="preserve">№ 1/2023 от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2023 г., </w:t>
            </w:r>
            <w:r w:rsidR="00553F2F">
              <w:rPr>
                <w:rFonts w:eastAsia="Calibri"/>
                <w:b/>
                <w:i/>
              </w:rPr>
              <w:t xml:space="preserve">№ 2/2023 от </w:t>
            </w:r>
            <w:r w:rsidR="00553F2F" w:rsidRPr="00553F2F">
              <w:rPr>
                <w:rFonts w:eastAsia="Calibri"/>
                <w:b/>
                <w:i/>
              </w:rPr>
              <w:t>29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2023 г.,</w:t>
            </w:r>
            <w:r w:rsidR="00553F2F">
              <w:rPr>
                <w:rFonts w:eastAsia="Calibri"/>
                <w:b/>
                <w:i/>
              </w:rPr>
              <w:t xml:space="preserve"> № 1/2024 от </w:t>
            </w:r>
            <w:r w:rsidR="00553F2F" w:rsidRPr="00553F2F">
              <w:rPr>
                <w:rFonts w:eastAsia="Calibri"/>
                <w:b/>
                <w:i/>
              </w:rPr>
              <w:t>16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2024 г.,</w:t>
            </w:r>
            <w:r w:rsidR="00553F2F">
              <w:rPr>
                <w:rFonts w:eastAsia="Calibri"/>
                <w:b/>
                <w:i/>
              </w:rPr>
              <w:t xml:space="preserve"> № 2/2024 от </w:t>
            </w:r>
            <w:r w:rsidR="00553F2F" w:rsidRPr="00553F2F">
              <w:rPr>
                <w:rFonts w:eastAsia="Calibri"/>
                <w:b/>
                <w:i/>
              </w:rPr>
              <w:t>25</w:t>
            </w:r>
            <w:r w:rsidR="00553F2F">
              <w:rPr>
                <w:rFonts w:eastAsia="Calibri"/>
                <w:b/>
                <w:i/>
              </w:rPr>
              <w:t xml:space="preserve">.11.2024 г.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074359" w:rsidRDefault="007F10A8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074359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074359">
              <w:rPr>
                <w:rFonts w:eastAsia="Calibri"/>
                <w:b/>
                <w:i/>
              </w:rPr>
              <w:t>Договор займа</w:t>
            </w:r>
            <w:r w:rsidR="00553F2F">
              <w:rPr>
                <w:rFonts w:eastAsia="Calibri"/>
                <w:b/>
                <w:i/>
              </w:rPr>
              <w:t xml:space="preserve"> </w:t>
            </w:r>
            <w:r w:rsidR="002C5304">
              <w:rPr>
                <w:rFonts w:eastAsia="Calibri"/>
                <w:b/>
                <w:i/>
              </w:rPr>
              <w:t xml:space="preserve">№ 1/2023 от </w:t>
            </w:r>
            <w:r w:rsidR="002C5304" w:rsidRPr="00553F2F">
              <w:rPr>
                <w:rFonts w:eastAsia="Calibri"/>
                <w:b/>
                <w:i/>
              </w:rPr>
              <w:t>31</w:t>
            </w:r>
            <w:r w:rsidR="002C5304">
              <w:rPr>
                <w:rFonts w:eastAsia="Calibri"/>
                <w:b/>
                <w:i/>
              </w:rPr>
              <w:t>.01.</w:t>
            </w:r>
            <w:r w:rsidR="002C5304" w:rsidRPr="00553F2F">
              <w:rPr>
                <w:rFonts w:eastAsia="Calibri"/>
                <w:b/>
                <w:i/>
              </w:rPr>
              <w:t xml:space="preserve">2023 </w:t>
            </w:r>
            <w:r w:rsidR="00553F2F" w:rsidRPr="00553F2F">
              <w:rPr>
                <w:rFonts w:eastAsia="Calibri"/>
                <w:b/>
                <w:i/>
              </w:rPr>
              <w:t>г.</w:t>
            </w:r>
            <w:r w:rsidR="00074359" w:rsidRPr="00F44691">
              <w:rPr>
                <w:rFonts w:eastAsia="Calibri"/>
                <w:b/>
                <w:i/>
              </w:rPr>
              <w:t>, в соответствии с которым</w:t>
            </w:r>
            <w:r w:rsidR="00074359">
              <w:rPr>
                <w:rFonts w:eastAsia="Calibri"/>
                <w:b/>
                <w:i/>
              </w:rPr>
              <w:t xml:space="preserve">и </w:t>
            </w:r>
            <w:r w:rsidR="00074359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074359">
              <w:rPr>
                <w:rFonts w:eastAsia="Calibri"/>
                <w:b/>
                <w:i/>
              </w:rPr>
              <w:t>31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  <w:r w:rsidR="00074359">
              <w:rPr>
                <w:rFonts w:eastAsia="Calibri"/>
                <w:b/>
                <w:i/>
              </w:rPr>
              <w:t>12</w:t>
            </w:r>
            <w:r w:rsidR="00074359" w:rsidRPr="00F44691">
              <w:rPr>
                <w:rFonts w:eastAsia="Calibri"/>
                <w:b/>
                <w:i/>
              </w:rPr>
              <w:t>.202</w:t>
            </w:r>
            <w:r w:rsidR="00074359">
              <w:rPr>
                <w:rFonts w:eastAsia="Calibri"/>
                <w:b/>
                <w:i/>
              </w:rPr>
              <w:t>9 г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Существенные условия взаимосвязанных ранее заключенных сделок: 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1) договора займа № 1/2009 от 28.03.2019 г.</w:t>
            </w:r>
            <w:r w:rsidR="0073330B" w:rsidRPr="00553F2F">
              <w:rPr>
                <w:rFonts w:eastAsia="Calibri"/>
                <w:b/>
                <w:i/>
              </w:rPr>
              <w:t xml:space="preserve"> с учетом </w:t>
            </w:r>
            <w:r w:rsidR="00553F2F" w:rsidRPr="00553F2F">
              <w:rPr>
                <w:rFonts w:eastAsia="Calibri"/>
                <w:b/>
                <w:i/>
              </w:rPr>
              <w:t xml:space="preserve">Дополнительного соглашения № 7 от 22.04.2025 г. и </w:t>
            </w:r>
            <w:r w:rsidR="0073330B" w:rsidRPr="00553F2F">
              <w:rPr>
                <w:rFonts w:eastAsia="Calibri"/>
                <w:b/>
                <w:i/>
              </w:rPr>
              <w:t>всех ранее совершенных изменений и дополнений к нему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 w:rsidR="00553F2F"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</w:t>
            </w:r>
            <w:r w:rsidR="0073330B" w:rsidRPr="00553F2F">
              <w:rPr>
                <w:rFonts w:eastAsia="Calibri"/>
                <w:b/>
                <w:i/>
              </w:rPr>
              <w:t xml:space="preserve">и уплатить проценты </w:t>
            </w:r>
            <w:r w:rsidRPr="00553F2F">
              <w:rPr>
                <w:rFonts w:eastAsia="Calibri"/>
                <w:b/>
                <w:i/>
              </w:rPr>
              <w:t xml:space="preserve">в срок и </w:t>
            </w:r>
            <w:r w:rsidR="0073330B" w:rsidRPr="00553F2F">
              <w:rPr>
                <w:rFonts w:eastAsia="Calibri"/>
                <w:b/>
                <w:i/>
              </w:rPr>
              <w:t>на условиях, предусмотренных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73330B" w:rsidRPr="00553F2F">
              <w:rPr>
                <w:rFonts w:eastAsia="Calibri"/>
                <w:b/>
                <w:i/>
              </w:rPr>
              <w:t>договором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>умма займа: 407 000,00 (четыреста семь тысяч) долларов США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13 %</w:t>
            </w:r>
            <w:r w:rsidR="00553F2F" w:rsidRPr="00553F2F">
              <w:rPr>
                <w:rFonts w:eastAsia="Calibri"/>
                <w:b/>
                <w:i/>
              </w:rPr>
              <w:t xml:space="preserve"> (тринадцать процентов) годовых,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займа: по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 xml:space="preserve"> декабря 2029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F1BB6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 w:rsidR="00553F2F"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553F2F"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 w:rsidR="00553F2F"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</w:p>
          <w:p w:rsidR="0096456B" w:rsidRPr="00553F2F" w:rsidRDefault="00553F2F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 w:rsidR="00B22985"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2/2009 от </w:t>
            </w:r>
            <w:r w:rsidRPr="00553F2F">
              <w:rPr>
                <w:rFonts w:eastAsia="Calibri"/>
                <w:b/>
                <w:i/>
              </w:rPr>
              <w:t>15</w:t>
            </w:r>
            <w:r>
              <w:rPr>
                <w:rFonts w:eastAsia="Calibri"/>
                <w:b/>
                <w:i/>
              </w:rPr>
              <w:t>.08.</w:t>
            </w:r>
            <w:r w:rsidRPr="00553F2F">
              <w:rPr>
                <w:rFonts w:eastAsia="Calibri"/>
                <w:b/>
                <w:i/>
              </w:rPr>
              <w:t xml:space="preserve">2019г. с учетом Дополнительного соглашения № </w:t>
            </w: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71</w:t>
            </w:r>
            <w:r w:rsidRPr="00553F2F">
              <w:rPr>
                <w:rFonts w:eastAsia="Calibri"/>
                <w:b/>
                <w:i/>
              </w:rPr>
              <w:t> 000,00 (семь</w:t>
            </w:r>
            <w:r>
              <w:rPr>
                <w:rFonts w:eastAsia="Calibri"/>
                <w:b/>
                <w:i/>
              </w:rPr>
              <w:t>десят одна</w:t>
            </w:r>
            <w:r w:rsidRPr="00553F2F">
              <w:rPr>
                <w:rFonts w:eastAsia="Calibri"/>
                <w:b/>
                <w:i/>
              </w:rPr>
              <w:t xml:space="preserve"> тысяч</w:t>
            </w:r>
            <w:r>
              <w:rPr>
                <w:rFonts w:eastAsia="Calibri"/>
                <w:b/>
                <w:i/>
              </w:rPr>
              <w:t>а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Евро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процентная ставка за пользование займом: 13 % (тринадцать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г.,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lastRenderedPageBreak/>
              <w:t>3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5/2009 от </w:t>
            </w:r>
            <w:r w:rsidRPr="00553F2F">
              <w:rPr>
                <w:rFonts w:eastAsia="Calibri"/>
                <w:b/>
                <w:i/>
              </w:rPr>
              <w:t>19</w:t>
            </w:r>
            <w:r>
              <w:rPr>
                <w:rFonts w:eastAsia="Calibri"/>
                <w:b/>
                <w:i/>
              </w:rPr>
              <w:t>.07.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8 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восемь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>6/2009 от 11.11.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десять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1/2022 от </w:t>
            </w:r>
            <w:r w:rsidRPr="00553F2F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>.01.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14 666 600,00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четырнадцать миллионов шестьсот шестьдесят шесть тысяч шестьсот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2/2022 от </w:t>
            </w:r>
            <w:r w:rsidRPr="00553F2F">
              <w:rPr>
                <w:rFonts w:eastAsia="Calibri"/>
                <w:b/>
                <w:i/>
              </w:rPr>
              <w:t>08</w:t>
            </w:r>
            <w:r>
              <w:rPr>
                <w:rFonts w:eastAsia="Calibri"/>
                <w:b/>
                <w:i/>
              </w:rPr>
              <w:t>.06.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 w:rsidR="005F1BB6">
              <w:rPr>
                <w:rFonts w:eastAsia="Calibri"/>
                <w:b/>
                <w:i/>
              </w:rPr>
              <w:t>21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</w:t>
            </w:r>
            <w:r>
              <w:rPr>
                <w:rFonts w:eastAsia="Calibri"/>
                <w:b/>
                <w:i/>
              </w:rPr>
              <w:t>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 w:rsidR="005F1BB6">
              <w:rPr>
                <w:rFonts w:eastAsia="Calibri"/>
                <w:b/>
                <w:i/>
              </w:rPr>
              <w:t>двадцать один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 w:rsidR="005F1BB6"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 w:rsidR="005F1BB6"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3/2022 от 26.12.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11 000 000,00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одиннадцать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1/2023 от 31.01.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2 200 233,00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 миллиона двести тысяч двести тридцать три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рубля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2/2023 от 29.05.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200</w:t>
            </w:r>
            <w:r w:rsidRPr="00553F2F">
              <w:rPr>
                <w:rFonts w:eastAsia="Calibri"/>
                <w:b/>
                <w:i/>
              </w:rPr>
              <w:t> 000,00 (</w:t>
            </w:r>
            <w:r>
              <w:rPr>
                <w:rFonts w:eastAsia="Calibri"/>
                <w:b/>
                <w:i/>
              </w:rPr>
              <w:t>двести</w:t>
            </w:r>
            <w:r w:rsidRPr="00553F2F">
              <w:rPr>
                <w:rFonts w:eastAsia="Calibri"/>
                <w:b/>
                <w:i/>
              </w:rPr>
              <w:t xml:space="preserve"> тысяч) долларов США,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три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10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1/2024 от 16.05.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</w:t>
            </w:r>
            <w:r w:rsidRPr="00553F2F">
              <w:rPr>
                <w:rFonts w:eastAsia="Calibri"/>
                <w:b/>
                <w:i/>
              </w:rPr>
              <w:lastRenderedPageBreak/>
              <w:t xml:space="preserve">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100 000 000,00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сто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1939BA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11</w:t>
            </w:r>
            <w:r w:rsidR="005F1BB6" w:rsidRPr="00553F2F">
              <w:rPr>
                <w:rFonts w:eastAsia="Calibri"/>
                <w:b/>
                <w:i/>
              </w:rPr>
              <w:t xml:space="preserve">) договора займа </w:t>
            </w:r>
            <w:r w:rsidR="005F1BB6">
              <w:rPr>
                <w:rFonts w:eastAsia="Calibri"/>
                <w:b/>
                <w:i/>
              </w:rPr>
              <w:t>№ 2/2024 от 25.11.</w:t>
            </w:r>
            <w:r w:rsidR="005F1BB6" w:rsidRPr="00553F2F">
              <w:rPr>
                <w:rFonts w:eastAsia="Calibri"/>
                <w:b/>
                <w:i/>
              </w:rPr>
              <w:t>202</w:t>
            </w:r>
            <w:r w:rsidR="005F1BB6">
              <w:rPr>
                <w:rFonts w:eastAsia="Calibri"/>
                <w:b/>
                <w:i/>
              </w:rPr>
              <w:t>4</w:t>
            </w:r>
            <w:r w:rsidR="005F1BB6"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="005F1BB6"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="005F1BB6" w:rsidRPr="00553F2F">
              <w:rPr>
                <w:rFonts w:eastAsia="Calibri"/>
                <w:b/>
                <w:i/>
              </w:rPr>
              <w:t xml:space="preserve">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20 519 000,00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двадцать миллионов пятьсот девятнадцать тысяч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восем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 w:rsidR="001939BA">
              <w:rPr>
                <w:rFonts w:eastAsia="Calibri"/>
                <w:b/>
                <w:i/>
              </w:rPr>
              <w:t>Ордовский</w:t>
            </w:r>
            <w:proofErr w:type="spellEnd"/>
            <w:r w:rsidR="001939BA">
              <w:rPr>
                <w:rFonts w:eastAsia="Calibri"/>
                <w:b/>
                <w:i/>
              </w:rPr>
              <w:t>-Танаевский Бланко Ростислав</w:t>
            </w:r>
            <w:r>
              <w:rPr>
                <w:rFonts w:eastAsia="Calibri"/>
                <w:b/>
                <w:i/>
              </w:rPr>
              <w:t xml:space="preserve">, ИНН </w:t>
            </w:r>
            <w:r w:rsidR="001939BA">
              <w:rPr>
                <w:rFonts w:eastAsia="Calibri"/>
                <w:b/>
                <w:i/>
              </w:rPr>
              <w:t xml:space="preserve">772274501140 </w:t>
            </w:r>
            <w:r>
              <w:rPr>
                <w:rFonts w:eastAsia="Calibri"/>
                <w:b/>
                <w:i/>
              </w:rPr>
              <w:t>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3D1506" w:rsidRDefault="003D1506" w:rsidP="003D150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499 007 656 (четыреста девяносто девять миллионов семь тысяч шестьсот пятьдесят шесть) рублей 00 копеек, что составляет 06,11 % стоимости активов, определенной по данным консолидированной финансовой отчетности эмитента на последнюю отчетную дату, а также 12,43 %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CE5688" w:rsidRDefault="00CE5688" w:rsidP="00CA0684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F43C04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461 455 443 (четыреста шестьдесят один миллион четыреста пятьдесят пять тысяч четыреста сорок три) рубля 95 копеек, в том числе сумма основного долга в размере 243 057 640 (двести сорок три миллиона пятьдесят семь тысяч шестьсот сорок) рублей 30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1939BA">
              <w:rPr>
                <w:rFonts w:eastAsia="Calibri"/>
                <w:b/>
                <w:i/>
              </w:rPr>
              <w:t>4 015 485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C1338C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 w:rsidR="00C1338C"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7F1" w:rsidRDefault="006E77F1">
      <w:r>
        <w:separator/>
      </w:r>
    </w:p>
  </w:endnote>
  <w:endnote w:type="continuationSeparator" w:id="0">
    <w:p w:rsidR="006E77F1" w:rsidRDefault="006E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7F1" w:rsidRDefault="006E77F1">
      <w:r>
        <w:separator/>
      </w:r>
    </w:p>
  </w:footnote>
  <w:footnote w:type="continuationSeparator" w:id="0">
    <w:p w:rsidR="006E77F1" w:rsidRDefault="006E7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17381"/>
    <w:rsid w:val="00034BE3"/>
    <w:rsid w:val="00074359"/>
    <w:rsid w:val="000D534A"/>
    <w:rsid w:val="000E78C5"/>
    <w:rsid w:val="00162CC4"/>
    <w:rsid w:val="00185C84"/>
    <w:rsid w:val="001939BA"/>
    <w:rsid w:val="001F4922"/>
    <w:rsid w:val="00267D8E"/>
    <w:rsid w:val="00295F03"/>
    <w:rsid w:val="00297EA2"/>
    <w:rsid w:val="002C495F"/>
    <w:rsid w:val="002C5304"/>
    <w:rsid w:val="00305343"/>
    <w:rsid w:val="003108F5"/>
    <w:rsid w:val="00395C86"/>
    <w:rsid w:val="003A682A"/>
    <w:rsid w:val="003D1506"/>
    <w:rsid w:val="003E00DE"/>
    <w:rsid w:val="00424F7D"/>
    <w:rsid w:val="00514A8C"/>
    <w:rsid w:val="005222B1"/>
    <w:rsid w:val="00553F2F"/>
    <w:rsid w:val="005F1BB6"/>
    <w:rsid w:val="005F1DC4"/>
    <w:rsid w:val="005F27AB"/>
    <w:rsid w:val="0065597C"/>
    <w:rsid w:val="006E77F1"/>
    <w:rsid w:val="00721B5B"/>
    <w:rsid w:val="00724B2B"/>
    <w:rsid w:val="0073330B"/>
    <w:rsid w:val="0076576B"/>
    <w:rsid w:val="007B7F72"/>
    <w:rsid w:val="007F10A8"/>
    <w:rsid w:val="007F6403"/>
    <w:rsid w:val="00802A45"/>
    <w:rsid w:val="00823579"/>
    <w:rsid w:val="0087423C"/>
    <w:rsid w:val="00876A90"/>
    <w:rsid w:val="0088789F"/>
    <w:rsid w:val="008948B1"/>
    <w:rsid w:val="00916FC2"/>
    <w:rsid w:val="0096456B"/>
    <w:rsid w:val="009A4EEA"/>
    <w:rsid w:val="009F5036"/>
    <w:rsid w:val="00A749BE"/>
    <w:rsid w:val="00AF6690"/>
    <w:rsid w:val="00B22985"/>
    <w:rsid w:val="00B40A7A"/>
    <w:rsid w:val="00B51D0C"/>
    <w:rsid w:val="00B57911"/>
    <w:rsid w:val="00BB0E78"/>
    <w:rsid w:val="00C1338C"/>
    <w:rsid w:val="00C85000"/>
    <w:rsid w:val="00CA0684"/>
    <w:rsid w:val="00CE215A"/>
    <w:rsid w:val="00CE5688"/>
    <w:rsid w:val="00CE63EF"/>
    <w:rsid w:val="00D40D54"/>
    <w:rsid w:val="00D42938"/>
    <w:rsid w:val="00D5470A"/>
    <w:rsid w:val="00D769AA"/>
    <w:rsid w:val="00F21D80"/>
    <w:rsid w:val="00F43C04"/>
    <w:rsid w:val="00F61F0D"/>
    <w:rsid w:val="00FE0780"/>
    <w:rsid w:val="00FE3276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6</cp:revision>
  <dcterms:created xsi:type="dcterms:W3CDTF">2025-04-23T12:35:00Z</dcterms:created>
  <dcterms:modified xsi:type="dcterms:W3CDTF">2025-04-23T13:58:00Z</dcterms:modified>
</cp:coreProperties>
</file>